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596A21">
      <w:pPr>
        <w:jc w:val="center"/>
        <w:rPr>
          <w:rFonts w:hint="eastAsia"/>
          <w:b/>
          <w:color w:val="595959"/>
          <w:sz w:val="36"/>
          <w:lang w:val="en-US" w:eastAsia="zh-CN"/>
        </w:rPr>
      </w:pPr>
    </w:p>
    <w:p w14:paraId="30C18101">
      <w:pPr>
        <w:jc w:val="center"/>
        <w:rPr>
          <w:rFonts w:hint="eastAsia"/>
          <w:b/>
          <w:color w:val="595959"/>
          <w:sz w:val="36"/>
          <w:lang w:val="en-US" w:eastAsia="zh-CN"/>
        </w:rPr>
      </w:pPr>
    </w:p>
    <w:p w14:paraId="080F7D3A">
      <w:pPr>
        <w:jc w:val="center"/>
        <w:rPr>
          <w:rFonts w:hint="eastAsia"/>
          <w:b/>
          <w:color w:val="595959"/>
          <w:sz w:val="36"/>
          <w:lang w:val="en-US" w:eastAsia="zh-CN"/>
        </w:rPr>
      </w:pPr>
    </w:p>
    <w:p w14:paraId="5EA92650">
      <w:pPr>
        <w:jc w:val="center"/>
        <w:rPr>
          <w:rFonts w:hint="eastAsia"/>
          <w:b/>
          <w:color w:val="595959"/>
          <w:sz w:val="36"/>
          <w:lang w:val="en-US" w:eastAsia="zh-CN"/>
        </w:rPr>
      </w:pPr>
    </w:p>
    <w:p w14:paraId="030D68FF">
      <w:pPr>
        <w:jc w:val="center"/>
        <w:rPr>
          <w:rFonts w:hint="eastAsia"/>
          <w:b/>
          <w:color w:val="595959"/>
          <w:sz w:val="36"/>
          <w:lang w:val="en-US" w:eastAsia="zh-CN"/>
        </w:rPr>
      </w:pPr>
    </w:p>
    <w:p w14:paraId="2D452CA4">
      <w:pPr>
        <w:jc w:val="center"/>
        <w:rPr>
          <w:rFonts w:hint="eastAsia"/>
          <w:b/>
          <w:color w:val="595959"/>
          <w:sz w:val="36"/>
          <w:lang w:val="en-US" w:eastAsia="zh-CN"/>
        </w:rPr>
      </w:pPr>
    </w:p>
    <w:p w14:paraId="47E3B518">
      <w:pPr>
        <w:jc w:val="center"/>
        <w:rPr>
          <w:rFonts w:hint="eastAsia"/>
          <w:b/>
          <w:color w:val="595959"/>
          <w:sz w:val="36"/>
          <w:lang w:val="en-US" w:eastAsia="zh-CN"/>
        </w:rPr>
      </w:pPr>
    </w:p>
    <w:p w14:paraId="6CFE60F1">
      <w:pPr>
        <w:jc w:val="center"/>
        <w:rPr>
          <w:b/>
          <w:color w:val="595959"/>
          <w:sz w:val="36"/>
        </w:rPr>
      </w:pPr>
      <w:r>
        <w:rPr>
          <w:rFonts w:hint="eastAsia"/>
          <w:b/>
          <w:color w:val="595959"/>
          <w:sz w:val="36"/>
          <w:lang w:val="en-US" w:eastAsia="zh-CN"/>
        </w:rPr>
        <w:t>TLERA ELECTRIC FORKLIFT</w:t>
      </w:r>
      <w:r>
        <w:rPr>
          <w:b/>
          <w:color w:val="595959"/>
          <w:sz w:val="36"/>
        </w:rPr>
        <w:br w:type="textWrapping"/>
      </w:r>
      <w:r>
        <w:rPr>
          <w:b/>
          <w:color w:val="595959"/>
          <w:sz w:val="36"/>
        </w:rPr>
        <w:t>PRODUCT WARRANTY CERTIFICATE</w:t>
      </w:r>
    </w:p>
    <w:p w14:paraId="7D41EB2D">
      <w:pPr>
        <w:jc w:val="center"/>
        <w:rPr>
          <w:b/>
          <w:color w:val="595959"/>
          <w:sz w:val="36"/>
        </w:rPr>
      </w:pPr>
      <w:r>
        <w:rPr>
          <w:rFonts w:hint="eastAsia" w:eastAsia="微软雅黑"/>
          <w:lang w:eastAsia="zh-CN"/>
        </w:rPr>
        <w:drawing>
          <wp:anchor distT="0" distB="0" distL="114300" distR="114300" simplePos="0" relativeHeight="251659264" behindDoc="0" locked="0" layoutInCell="1" allowOverlap="1">
            <wp:simplePos x="0" y="0"/>
            <wp:positionH relativeFrom="column">
              <wp:posOffset>1594485</wp:posOffset>
            </wp:positionH>
            <wp:positionV relativeFrom="paragraph">
              <wp:posOffset>114935</wp:posOffset>
            </wp:positionV>
            <wp:extent cx="3130550" cy="729615"/>
            <wp:effectExtent l="0" t="0" r="0" b="0"/>
            <wp:wrapNone/>
            <wp:docPr id="1" name="图片 1" descr="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
                    <pic:cNvPicPr>
                      <a:picLocks noChangeAspect="1"/>
                    </pic:cNvPicPr>
                  </pic:nvPicPr>
                  <pic:blipFill>
                    <a:blip r:embed="rId8"/>
                    <a:stretch>
                      <a:fillRect/>
                    </a:stretch>
                  </pic:blipFill>
                  <pic:spPr>
                    <a:xfrm>
                      <a:off x="0" y="0"/>
                      <a:ext cx="3130550" cy="729615"/>
                    </a:xfrm>
                    <a:prstGeom prst="rect">
                      <a:avLst/>
                    </a:prstGeom>
                  </pic:spPr>
                </pic:pic>
              </a:graphicData>
            </a:graphic>
          </wp:anchor>
        </w:drawing>
      </w:r>
    </w:p>
    <w:p w14:paraId="4DCD2507">
      <w:pPr>
        <w:rPr>
          <w:rFonts w:hint="eastAsia" w:eastAsia="微软雅黑"/>
          <w:lang w:eastAsia="zh-CN"/>
        </w:rPr>
      </w:pPr>
      <w:r>
        <w:br w:type="page"/>
      </w:r>
    </w:p>
    <w:p w14:paraId="64E6BAA3">
      <w:pPr>
        <w:jc w:val="center"/>
      </w:pPr>
      <w:r>
        <w:rPr>
          <w:rFonts w:hint="eastAsia"/>
          <w:b/>
          <w:color w:val="1F4E79"/>
          <w:sz w:val="34"/>
          <w:lang w:eastAsia="zh-CN"/>
        </w:rPr>
        <w:t>TLERA</w:t>
      </w:r>
      <w:r>
        <w:rPr>
          <w:rFonts w:eastAsia="微软雅黑"/>
          <w:b/>
          <w:color w:val="1F4E79"/>
          <w:sz w:val="34"/>
        </w:rPr>
        <w:t>PRODUCT WARRANTY CERTIFICATE</w:t>
      </w:r>
    </w:p>
    <w:p w14:paraId="50FD83FD">
      <w:pPr>
        <w:keepLines/>
      </w:pPr>
      <w:r>
        <w:rPr>
          <w:rFonts w:hint="eastAsia"/>
          <w:i/>
          <w:color w:val="auto"/>
          <w:lang w:eastAsia="zh-CN"/>
        </w:rPr>
        <w:t>TLERA</w:t>
      </w:r>
      <w:r>
        <w:rPr>
          <w:rFonts w:ascii="Arial" w:hAnsi="Arial"/>
          <w:i/>
          <w:color w:val="auto"/>
        </w:rPr>
        <w:t xml:space="preserve"> provides the following warranty for its products with respect to materials and workmanship:</w:t>
      </w:r>
    </w:p>
    <w:p w14:paraId="418C27C7">
      <w:pPr>
        <w:pStyle w:val="3"/>
      </w:pPr>
      <w:r>
        <w:t xml:space="preserve"> 1. Product Quality Commitment</w:t>
      </w:r>
    </w:p>
    <w:p w14:paraId="6B0C3889">
      <w:pPr>
        <w:keepLines/>
      </w:pPr>
      <w:r>
        <w:rPr>
          <w:rFonts w:ascii="Arial" w:hAnsi="Arial"/>
          <w:i/>
          <w:color w:val="595959"/>
        </w:rPr>
        <w:br w:type="textWrapping"/>
      </w:r>
      <w:r>
        <w:rPr>
          <w:rFonts w:ascii="Arial" w:hAnsi="Arial"/>
          <w:i/>
          <w:color w:val="auto"/>
        </w:rPr>
        <w:t>1.1 During the warranty period, parts damaged due to defects in materials or manufacture will,</w:t>
      </w:r>
      <w:r>
        <w:rPr>
          <w:rFonts w:ascii="Arial" w:hAnsi="Arial"/>
          <w:i/>
          <w:color w:val="auto"/>
          <w:highlight w:val="yellow"/>
        </w:rPr>
        <w:t xml:space="preserve"> after confirmation by </w:t>
      </w:r>
      <w:r>
        <w:rPr>
          <w:rFonts w:hint="eastAsia"/>
          <w:i/>
          <w:color w:val="auto"/>
          <w:highlight w:val="yellow"/>
          <w:lang w:eastAsia="zh-CN"/>
        </w:rPr>
        <w:t>TLERA</w:t>
      </w:r>
      <w:r>
        <w:rPr>
          <w:rFonts w:ascii="Arial" w:hAnsi="Arial"/>
          <w:i/>
          <w:color w:val="auto"/>
          <w:highlight w:val="yellow"/>
        </w:rPr>
        <w:t>, be repaired or replaced free of charge if the failure falls within the warranty scope.</w:t>
      </w:r>
      <w:r>
        <w:rPr>
          <w:rFonts w:ascii="Arial" w:hAnsi="Arial"/>
          <w:i/>
          <w:color w:val="auto"/>
        </w:rPr>
        <w:t xml:space="preserve"> All replaced parts shall become the property of </w:t>
      </w:r>
      <w:r>
        <w:rPr>
          <w:rFonts w:hint="eastAsia"/>
          <w:i/>
          <w:color w:val="auto"/>
          <w:lang w:eastAsia="zh-CN"/>
        </w:rPr>
        <w:t>TLERA</w:t>
      </w:r>
      <w:r>
        <w:rPr>
          <w:rFonts w:ascii="Arial" w:hAnsi="Arial"/>
          <w:i/>
          <w:color w:val="auto"/>
        </w:rPr>
        <w:t>.</w:t>
      </w:r>
    </w:p>
    <w:p w14:paraId="0F2CAEEE">
      <w:pPr>
        <w:keepLines/>
      </w:pPr>
      <w:r>
        <w:rPr>
          <w:rFonts w:ascii="Arial" w:hAnsi="Arial"/>
          <w:i/>
          <w:color w:val="595959"/>
        </w:rPr>
        <w:br w:type="textWrapping"/>
      </w:r>
      <w:r>
        <w:rPr>
          <w:rFonts w:ascii="Arial" w:hAnsi="Arial"/>
          <w:i/>
          <w:color w:val="auto"/>
        </w:rPr>
        <w:t xml:space="preserve">1.2 </w:t>
      </w:r>
      <w:r>
        <w:rPr>
          <w:rFonts w:hint="eastAsia"/>
          <w:i/>
          <w:color w:val="auto"/>
          <w:lang w:eastAsia="zh-CN"/>
        </w:rPr>
        <w:t>TLERA</w:t>
      </w:r>
      <w:r>
        <w:rPr>
          <w:rFonts w:ascii="Arial" w:hAnsi="Arial"/>
          <w:i/>
          <w:color w:val="auto"/>
        </w:rPr>
        <w:t xml:space="preserve"> warrants only its products. Other indirect losses incurred during use, including but not limited to downtime losses, loss of reputation, cost overruns and other economic losses, are not covered.</w:t>
      </w:r>
    </w:p>
    <w:p w14:paraId="67AE2359">
      <w:pPr>
        <w:keepLines/>
      </w:pPr>
      <w:r>
        <w:rPr>
          <w:rFonts w:ascii="Arial" w:hAnsi="Arial"/>
          <w:i/>
          <w:color w:val="595959"/>
        </w:rPr>
        <w:br w:type="textWrapping"/>
      </w:r>
      <w:r>
        <w:rPr>
          <w:rFonts w:ascii="Arial" w:hAnsi="Arial"/>
          <w:i/>
          <w:color w:val="auto"/>
        </w:rPr>
        <w:t>1.3 This warranty does not cover special circumstances involving use beyond the product manual or outside the contractual agreement.</w:t>
      </w:r>
    </w:p>
    <w:p w14:paraId="50910B38">
      <w:pPr>
        <w:keepLines/>
        <w:rPr>
          <w:highlight w:val="yellow"/>
        </w:rPr>
      </w:pPr>
      <w:r>
        <w:rPr>
          <w:rFonts w:ascii="Arial" w:hAnsi="Arial"/>
          <w:i/>
          <w:color w:val="595959"/>
          <w:highlight w:val="yellow"/>
        </w:rPr>
        <w:br w:type="textWrapping"/>
      </w:r>
      <w:r>
        <w:rPr>
          <w:rFonts w:ascii="Arial" w:hAnsi="Arial"/>
          <w:i/>
          <w:color w:val="auto"/>
          <w:highlight w:val="yellow"/>
        </w:rPr>
        <w:t xml:space="preserve">1.4 This warranty applies only to products purchased </w:t>
      </w:r>
      <w:r>
        <w:rPr>
          <w:rFonts w:hint="eastAsia"/>
          <w:i/>
          <w:color w:val="auto"/>
          <w:highlight w:val="yellow"/>
          <w:lang w:val="en-US" w:eastAsia="zh-CN"/>
        </w:rPr>
        <w:t xml:space="preserve">from Shiba Motor LLC </w:t>
      </w:r>
      <w:r>
        <w:rPr>
          <w:rFonts w:ascii="Arial" w:hAnsi="Arial"/>
          <w:i/>
          <w:color w:val="auto"/>
          <w:highlight w:val="yellow"/>
        </w:rPr>
        <w:t xml:space="preserve">and used within </w:t>
      </w:r>
      <w:r>
        <w:rPr>
          <w:rFonts w:hint="eastAsia"/>
          <w:i/>
          <w:color w:val="auto"/>
          <w:highlight w:val="yellow"/>
          <w:lang w:val="en-US" w:eastAsia="zh-CN"/>
        </w:rPr>
        <w:t>the US</w:t>
      </w:r>
      <w:r>
        <w:rPr>
          <w:rFonts w:ascii="Arial" w:hAnsi="Arial"/>
          <w:i/>
          <w:color w:val="auto"/>
          <w:highlight w:val="yellow"/>
        </w:rPr>
        <w:t>.</w:t>
      </w:r>
    </w:p>
    <w:p w14:paraId="73BA8D3C">
      <w:pPr>
        <w:pStyle w:val="3"/>
      </w:pPr>
      <w:r>
        <w:t>2. Warranty Period and Scope</w:t>
      </w:r>
    </w:p>
    <w:p w14:paraId="4A433F4C">
      <w:pPr>
        <w:keepLines/>
        <w:rPr>
          <w:rFonts w:ascii="Arial" w:hAnsi="Arial"/>
          <w:i/>
          <w:color w:val="auto"/>
          <w:highlight w:val="yellow"/>
        </w:rPr>
      </w:pPr>
    </w:p>
    <w:p w14:paraId="2255FF68">
      <w:pPr>
        <w:keepLines/>
        <w:rPr>
          <w:highlight w:val="yellow"/>
        </w:rPr>
      </w:pPr>
      <w:r>
        <w:rPr>
          <w:rFonts w:ascii="Arial" w:hAnsi="Arial"/>
          <w:i/>
          <w:color w:val="auto"/>
          <w:highlight w:val="yellow"/>
        </w:rPr>
        <w:t>2.1 The warranty period begins on the date the product is initially delivered to the user.</w:t>
      </w:r>
    </w:p>
    <w:p w14:paraId="2612F844">
      <w:pPr>
        <w:keepLines/>
        <w:rPr>
          <w:rFonts w:ascii="Arial" w:hAnsi="Arial"/>
          <w:i/>
          <w:color w:val="auto"/>
        </w:rPr>
      </w:pPr>
    </w:p>
    <w:p w14:paraId="059B487C">
      <w:pPr>
        <w:keepLines/>
      </w:pPr>
      <w:r>
        <w:rPr>
          <w:rFonts w:ascii="Arial" w:hAnsi="Arial"/>
          <w:i/>
          <w:color w:val="auto"/>
        </w:rPr>
        <w:t>2.2 Complete-truck warranty period and applicable scope (whichever occurs first: elapsed time or operating hours).</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4"/>
        <w:gridCol w:w="3324"/>
        <w:gridCol w:w="3324"/>
      </w:tblGrid>
      <w:tr w14:paraId="75F8C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4" w:type="dxa"/>
            <w:shd w:val="clear" w:color="auto" w:fill="2F5597"/>
            <w:tcMar>
              <w:top w:w="70" w:type="dxa"/>
              <w:left w:w="70" w:type="dxa"/>
              <w:bottom w:w="70" w:type="dxa"/>
              <w:right w:w="70" w:type="dxa"/>
            </w:tcMar>
            <w:vAlign w:val="center"/>
          </w:tcPr>
          <w:p w14:paraId="69DAAE29">
            <w:pPr>
              <w:spacing w:after="0" w:line="240" w:lineRule="auto"/>
              <w:jc w:val="center"/>
            </w:pPr>
            <w:r>
              <w:rPr>
                <w:rFonts w:ascii="Arial" w:hAnsi="Arial" w:eastAsia="微软雅黑"/>
                <w:b/>
                <w:color w:val="FFFFFF"/>
                <w:sz w:val="17"/>
              </w:rPr>
              <w:t>Product Series</w:t>
            </w:r>
          </w:p>
        </w:tc>
        <w:tc>
          <w:tcPr>
            <w:tcW w:w="3324" w:type="dxa"/>
            <w:shd w:val="clear" w:color="auto" w:fill="2F5597"/>
            <w:tcMar>
              <w:top w:w="70" w:type="dxa"/>
              <w:left w:w="70" w:type="dxa"/>
              <w:bottom w:w="70" w:type="dxa"/>
              <w:right w:w="70" w:type="dxa"/>
            </w:tcMar>
            <w:vAlign w:val="center"/>
          </w:tcPr>
          <w:p w14:paraId="3057DD15">
            <w:pPr>
              <w:spacing w:after="0" w:line="240" w:lineRule="auto"/>
              <w:jc w:val="center"/>
            </w:pPr>
            <w:r>
              <w:rPr>
                <w:rFonts w:ascii="Arial" w:hAnsi="Arial" w:eastAsia="微软雅黑"/>
                <w:b/>
                <w:color w:val="FFFFFF"/>
                <w:sz w:val="17"/>
              </w:rPr>
              <w:t>Complete-truck Warranty</w:t>
            </w:r>
          </w:p>
        </w:tc>
        <w:tc>
          <w:tcPr>
            <w:tcW w:w="3324" w:type="dxa"/>
            <w:shd w:val="clear" w:color="auto" w:fill="2F5597"/>
            <w:tcMar>
              <w:top w:w="70" w:type="dxa"/>
              <w:left w:w="70" w:type="dxa"/>
              <w:bottom w:w="70" w:type="dxa"/>
              <w:right w:w="70" w:type="dxa"/>
            </w:tcMar>
            <w:vAlign w:val="center"/>
          </w:tcPr>
          <w:p w14:paraId="6E91C97D">
            <w:pPr>
              <w:spacing w:after="0" w:line="240" w:lineRule="auto"/>
              <w:jc w:val="center"/>
            </w:pPr>
            <w:r>
              <w:rPr>
                <w:rFonts w:ascii="Arial" w:hAnsi="Arial" w:eastAsia="微软雅黑"/>
                <w:b/>
                <w:color w:val="FFFFFF"/>
                <w:sz w:val="17"/>
              </w:rPr>
              <w:t xml:space="preserve"> Parts Warranty</w:t>
            </w:r>
          </w:p>
        </w:tc>
      </w:tr>
      <w:tr w14:paraId="4414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4" w:type="dxa"/>
          </w:tcPr>
          <w:p w14:paraId="76FC6E3A">
            <w:pPr>
              <w:spacing w:after="0" w:line="240" w:lineRule="auto"/>
              <w:jc w:val="center"/>
            </w:pPr>
            <w:r>
              <w:rPr>
                <w:rFonts w:ascii="Arial" w:hAnsi="Arial" w:eastAsia="微软雅黑"/>
                <w:b w:val="0"/>
                <w:sz w:val="16"/>
              </w:rPr>
              <w:br w:type="textWrapping"/>
            </w:r>
            <w:r>
              <w:rPr>
                <w:rFonts w:ascii="Arial" w:hAnsi="Arial" w:eastAsia="微软雅黑"/>
                <w:b w:val="0"/>
                <w:sz w:val="16"/>
              </w:rPr>
              <w:t>electric forklifts</w:t>
            </w:r>
          </w:p>
        </w:tc>
        <w:tc>
          <w:tcPr>
            <w:tcW w:w="3324" w:type="dxa"/>
          </w:tcPr>
          <w:p w14:paraId="283D4DF6">
            <w:pPr>
              <w:spacing w:after="0" w:line="240" w:lineRule="auto"/>
              <w:jc w:val="center"/>
            </w:pPr>
            <w:r>
              <w:rPr>
                <w:rFonts w:ascii="Arial" w:hAnsi="Arial" w:eastAsia="微软雅黑"/>
                <w:b w:val="0"/>
                <w:sz w:val="16"/>
              </w:rPr>
              <w:br w:type="textWrapping"/>
            </w:r>
            <w:r>
              <w:rPr>
                <w:rFonts w:hint="eastAsia"/>
                <w:b w:val="0"/>
                <w:sz w:val="16"/>
                <w:lang w:val="en-US" w:eastAsia="zh-CN"/>
              </w:rPr>
              <w:t>12</w:t>
            </w:r>
            <w:r>
              <w:rPr>
                <w:rFonts w:ascii="Arial" w:hAnsi="Arial" w:eastAsia="微软雅黑"/>
                <w:b w:val="0"/>
                <w:sz w:val="16"/>
              </w:rPr>
              <w:t xml:space="preserve"> months/</w:t>
            </w:r>
            <w:r>
              <w:rPr>
                <w:rFonts w:hint="eastAsia"/>
                <w:b w:val="0"/>
                <w:sz w:val="16"/>
                <w:lang w:val="en-US" w:eastAsia="zh-CN"/>
              </w:rPr>
              <w:t>2</w:t>
            </w:r>
            <w:r>
              <w:rPr>
                <w:rFonts w:ascii="Arial" w:hAnsi="Arial" w:eastAsia="微软雅黑"/>
                <w:b w:val="0"/>
                <w:sz w:val="16"/>
              </w:rPr>
              <w:t>,000 hours</w:t>
            </w:r>
          </w:p>
        </w:tc>
        <w:tc>
          <w:tcPr>
            <w:tcW w:w="3324" w:type="dxa"/>
          </w:tcPr>
          <w:p w14:paraId="7F994C59">
            <w:pPr>
              <w:spacing w:after="0" w:line="240" w:lineRule="auto"/>
              <w:jc w:val="center"/>
            </w:pPr>
            <w:r>
              <w:rPr>
                <w:rFonts w:ascii="Arial" w:hAnsi="Arial" w:eastAsia="微软雅黑"/>
                <w:b w:val="0"/>
                <w:sz w:val="16"/>
              </w:rPr>
              <w:br w:type="textWrapping"/>
            </w:r>
            <w:r>
              <w:rPr>
                <w:rFonts w:ascii="Arial" w:hAnsi="Arial" w:eastAsia="微软雅黑"/>
                <w:b w:val="0"/>
                <w:sz w:val="16"/>
              </w:rPr>
              <w:t>See Clause 2.3 “Warranty”</w:t>
            </w:r>
          </w:p>
        </w:tc>
      </w:tr>
      <w:tr w14:paraId="2956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4" w:type="dxa"/>
          </w:tcPr>
          <w:p w14:paraId="00A8B707">
            <w:pPr>
              <w:spacing w:after="0" w:line="240" w:lineRule="auto"/>
              <w:jc w:val="center"/>
            </w:pPr>
            <w:r>
              <w:rPr>
                <w:rFonts w:ascii="Arial" w:hAnsi="Arial" w:eastAsia="微软雅黑"/>
                <w:b w:val="0"/>
                <w:sz w:val="16"/>
              </w:rPr>
              <w:br w:type="textWrapping"/>
            </w:r>
            <w:r>
              <w:rPr>
                <w:rFonts w:ascii="Arial" w:hAnsi="Arial" w:eastAsia="微软雅黑"/>
                <w:b w:val="0"/>
                <w:sz w:val="16"/>
              </w:rPr>
              <w:t>Reach trucks</w:t>
            </w:r>
          </w:p>
        </w:tc>
        <w:tc>
          <w:tcPr>
            <w:tcW w:w="3324" w:type="dxa"/>
          </w:tcPr>
          <w:p w14:paraId="341E4DDB">
            <w:pPr>
              <w:spacing w:after="0" w:line="240" w:lineRule="auto"/>
              <w:jc w:val="center"/>
            </w:pPr>
            <w:r>
              <w:rPr>
                <w:rFonts w:ascii="Arial" w:hAnsi="Arial" w:eastAsia="微软雅黑"/>
                <w:b w:val="0"/>
                <w:sz w:val="16"/>
              </w:rPr>
              <w:br w:type="textWrapping"/>
            </w:r>
            <w:r>
              <w:rPr>
                <w:rFonts w:ascii="Arial" w:hAnsi="Arial" w:eastAsia="微软雅黑"/>
                <w:b w:val="0"/>
                <w:sz w:val="16"/>
              </w:rPr>
              <w:t>12 months/2,000 hours</w:t>
            </w:r>
          </w:p>
        </w:tc>
        <w:tc>
          <w:tcPr>
            <w:tcW w:w="3324" w:type="dxa"/>
          </w:tcPr>
          <w:p w14:paraId="4A2EE4DA">
            <w:pPr>
              <w:spacing w:after="0" w:line="240" w:lineRule="auto"/>
              <w:jc w:val="center"/>
            </w:pPr>
            <w:r>
              <w:rPr>
                <w:rFonts w:ascii="Arial" w:hAnsi="Arial" w:eastAsia="微软雅黑"/>
                <w:b w:val="0"/>
                <w:sz w:val="16"/>
              </w:rPr>
              <w:br w:type="textWrapping"/>
            </w:r>
            <w:r>
              <w:rPr>
                <w:rFonts w:ascii="Arial" w:hAnsi="Arial" w:eastAsia="微软雅黑"/>
                <w:b w:val="0"/>
                <w:sz w:val="16"/>
              </w:rPr>
              <w:t>See Clause 2.3 “Warranty ”</w:t>
            </w:r>
          </w:p>
        </w:tc>
      </w:tr>
      <w:tr w14:paraId="5410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4" w:type="dxa"/>
          </w:tcPr>
          <w:p w14:paraId="72EF7591">
            <w:pPr>
              <w:spacing w:after="0" w:line="240" w:lineRule="auto"/>
              <w:jc w:val="center"/>
            </w:pPr>
            <w:r>
              <w:rPr>
                <w:rFonts w:ascii="Arial" w:hAnsi="Arial" w:eastAsia="微软雅黑"/>
                <w:b w:val="0"/>
                <w:sz w:val="16"/>
              </w:rPr>
              <w:br w:type="textWrapping"/>
            </w:r>
            <w:r>
              <w:rPr>
                <w:rFonts w:ascii="Arial" w:hAnsi="Arial" w:eastAsia="微软雅黑"/>
                <w:b w:val="0"/>
                <w:sz w:val="16"/>
              </w:rPr>
              <w:t>Warehouse-series electric trucks</w:t>
            </w:r>
          </w:p>
        </w:tc>
        <w:tc>
          <w:tcPr>
            <w:tcW w:w="3324" w:type="dxa"/>
          </w:tcPr>
          <w:p w14:paraId="2E4C335F">
            <w:pPr>
              <w:spacing w:after="0" w:line="240" w:lineRule="auto"/>
              <w:jc w:val="center"/>
            </w:pPr>
            <w:r>
              <w:rPr>
                <w:rFonts w:ascii="Arial" w:hAnsi="Arial" w:eastAsia="微软雅黑"/>
                <w:b w:val="0"/>
                <w:sz w:val="16"/>
              </w:rPr>
              <w:br w:type="textWrapping"/>
            </w:r>
            <w:r>
              <w:rPr>
                <w:rFonts w:ascii="Arial" w:hAnsi="Arial" w:eastAsia="微软雅黑"/>
                <w:b w:val="0"/>
                <w:sz w:val="16"/>
              </w:rPr>
              <w:t>12 months/2,000 hours</w:t>
            </w:r>
          </w:p>
        </w:tc>
        <w:tc>
          <w:tcPr>
            <w:tcW w:w="3324" w:type="dxa"/>
          </w:tcPr>
          <w:p w14:paraId="70BE03CD">
            <w:pPr>
              <w:spacing w:after="0" w:line="240" w:lineRule="auto"/>
              <w:jc w:val="center"/>
            </w:pPr>
            <w:r>
              <w:rPr>
                <w:rFonts w:ascii="Arial" w:hAnsi="Arial" w:eastAsia="微软雅黑"/>
                <w:b w:val="0"/>
                <w:sz w:val="16"/>
              </w:rPr>
              <w:br w:type="textWrapping"/>
            </w:r>
            <w:r>
              <w:rPr>
                <w:rFonts w:ascii="Arial" w:hAnsi="Arial" w:eastAsia="微软雅黑"/>
                <w:b w:val="0"/>
                <w:sz w:val="16"/>
              </w:rPr>
              <w:t>See Clause 2.3 “Warranty ”</w:t>
            </w:r>
          </w:p>
        </w:tc>
      </w:tr>
    </w:tbl>
    <w:p w14:paraId="5A2569B0">
      <w:pPr>
        <w:keepLines/>
        <w:rPr>
          <w:rFonts w:ascii="Arial" w:hAnsi="Arial"/>
          <w:i/>
          <w:color w:val="auto"/>
        </w:rPr>
      </w:pPr>
    </w:p>
    <w:p w14:paraId="0BE3993C">
      <w:pPr>
        <w:keepLines/>
        <w:rPr>
          <w:color w:val="auto"/>
        </w:rPr>
      </w:pPr>
      <w:r>
        <w:rPr>
          <w:rFonts w:ascii="Arial" w:hAnsi="Arial"/>
          <w:i/>
          <w:color w:val="auto"/>
        </w:rPr>
        <w:t>2.3 Parts warranty period and applicable scope (whichever occurs first: elapsed time or operating hours).</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9"/>
        <w:gridCol w:w="5017"/>
        <w:gridCol w:w="1551"/>
      </w:tblGrid>
      <w:tr w14:paraId="0CE1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2659" w:type="dxa"/>
            <w:shd w:val="clear" w:color="auto" w:fill="2F5597"/>
            <w:tcMar>
              <w:top w:w="70" w:type="dxa"/>
              <w:left w:w="70" w:type="dxa"/>
              <w:bottom w:w="70" w:type="dxa"/>
              <w:right w:w="70" w:type="dxa"/>
            </w:tcMar>
            <w:vAlign w:val="center"/>
          </w:tcPr>
          <w:p w14:paraId="2D46D0D9">
            <w:pPr>
              <w:spacing w:after="0" w:line="240" w:lineRule="auto"/>
              <w:jc w:val="center"/>
              <w:rPr>
                <w:sz w:val="20"/>
                <w:szCs w:val="24"/>
              </w:rPr>
            </w:pPr>
            <w:r>
              <w:rPr>
                <w:rFonts w:ascii="Arial" w:hAnsi="Arial" w:eastAsia="微软雅黑"/>
                <w:b/>
                <w:color w:val="FFFFFF"/>
                <w:sz w:val="15"/>
                <w:szCs w:val="24"/>
              </w:rPr>
              <w:t xml:space="preserve"> System</w:t>
            </w:r>
          </w:p>
        </w:tc>
        <w:tc>
          <w:tcPr>
            <w:tcW w:w="5017" w:type="dxa"/>
            <w:shd w:val="clear" w:color="auto" w:fill="2F5597"/>
            <w:tcMar>
              <w:top w:w="70" w:type="dxa"/>
              <w:left w:w="70" w:type="dxa"/>
              <w:bottom w:w="70" w:type="dxa"/>
              <w:right w:w="70" w:type="dxa"/>
            </w:tcMar>
            <w:vAlign w:val="center"/>
          </w:tcPr>
          <w:p w14:paraId="422604AC">
            <w:pPr>
              <w:spacing w:after="0" w:line="240" w:lineRule="auto"/>
              <w:jc w:val="center"/>
              <w:rPr>
                <w:sz w:val="20"/>
                <w:szCs w:val="24"/>
              </w:rPr>
            </w:pPr>
            <w:r>
              <w:rPr>
                <w:rFonts w:ascii="Arial" w:hAnsi="Arial" w:eastAsia="微软雅黑"/>
                <w:b/>
                <w:color w:val="FFFFFF"/>
                <w:sz w:val="15"/>
                <w:szCs w:val="24"/>
              </w:rPr>
              <w:t>Parts</w:t>
            </w:r>
          </w:p>
        </w:tc>
        <w:tc>
          <w:tcPr>
            <w:shd w:val="clear" w:color="auto" w:fill="2F5597"/>
          </w:tcPr>
          <w:p w14:paraId="000C61BD">
            <w:pPr>
              <w:spacing w:after="0" w:line="240" w:lineRule="auto"/>
              <w:jc w:val="center"/>
              <w:rPr>
                <w:sz w:val="20"/>
                <w:szCs w:val="24"/>
              </w:rPr>
            </w:pPr>
            <w:r>
              <w:rPr>
                <w:rFonts w:ascii="Arial" w:hAnsi="Arial" w:eastAsia="微软雅黑"/>
                <w:b/>
                <w:color w:val="FFFFFF"/>
                <w:sz w:val="15"/>
                <w:szCs w:val="24"/>
              </w:rPr>
              <w:t xml:space="preserve"> Warranty </w:t>
            </w:r>
          </w:p>
        </w:tc>
      </w:tr>
      <w:tr w14:paraId="126F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2659" w:type="dxa"/>
          </w:tcPr>
          <w:p w14:paraId="250D88F7">
            <w:pPr>
              <w:spacing w:after="0" w:line="240" w:lineRule="auto"/>
              <w:jc w:val="center"/>
              <w:rPr>
                <w:sz w:val="20"/>
                <w:szCs w:val="24"/>
              </w:rPr>
            </w:pPr>
            <w:r>
              <w:rPr>
                <w:rFonts w:ascii="Arial" w:hAnsi="Arial" w:eastAsia="微软雅黑"/>
                <w:b w:val="0"/>
                <w:sz w:val="15"/>
                <w:szCs w:val="24"/>
              </w:rPr>
              <w:t>Main structural parts</w:t>
            </w:r>
          </w:p>
        </w:tc>
        <w:tc>
          <w:tcPr>
            <w:tcW w:w="5017" w:type="dxa"/>
          </w:tcPr>
          <w:p w14:paraId="5C709015">
            <w:pPr>
              <w:spacing w:after="0" w:line="240" w:lineRule="auto"/>
              <w:jc w:val="left"/>
              <w:rPr>
                <w:sz w:val="20"/>
                <w:szCs w:val="24"/>
              </w:rPr>
            </w:pPr>
            <w:r>
              <w:rPr>
                <w:rFonts w:ascii="Arial" w:hAnsi="Arial" w:eastAsia="微软雅黑"/>
                <w:b w:val="0"/>
                <w:sz w:val="15"/>
                <w:szCs w:val="24"/>
              </w:rPr>
              <w:t>Frame, overhead guard, counterweight, oil tank, mast body, fork carriage</w:t>
            </w:r>
          </w:p>
        </w:tc>
        <w:tc>
          <w:p w14:paraId="2DEF68B0">
            <w:pPr>
              <w:spacing w:after="0" w:line="240" w:lineRule="auto"/>
              <w:jc w:val="center"/>
              <w:rPr>
                <w:sz w:val="20"/>
                <w:szCs w:val="24"/>
              </w:rPr>
            </w:pPr>
            <w:r>
              <w:rPr>
                <w:rFonts w:ascii="Arial" w:hAnsi="Arial" w:eastAsia="微软雅黑"/>
                <w:b w:val="0"/>
                <w:sz w:val="15"/>
                <w:szCs w:val="24"/>
              </w:rPr>
              <w:t>12 months/2,000 h</w:t>
            </w:r>
          </w:p>
        </w:tc>
      </w:tr>
      <w:tr w14:paraId="6CD30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659" w:type="dxa"/>
            <w:shd w:val="clear" w:color="auto" w:fill="EEF3F8"/>
          </w:tcPr>
          <w:p w14:paraId="7685336D">
            <w:pPr>
              <w:spacing w:after="0" w:line="240" w:lineRule="auto"/>
              <w:jc w:val="center"/>
              <w:rPr>
                <w:sz w:val="20"/>
                <w:szCs w:val="24"/>
              </w:rPr>
            </w:pPr>
            <w:r>
              <w:rPr>
                <w:rFonts w:ascii="Arial" w:hAnsi="Arial" w:eastAsia="微软雅黑"/>
                <w:b w:val="0"/>
                <w:sz w:val="15"/>
                <w:szCs w:val="24"/>
              </w:rPr>
              <w:t>Transmission system</w:t>
            </w:r>
          </w:p>
        </w:tc>
        <w:tc>
          <w:tcPr>
            <w:tcW w:w="5017" w:type="dxa"/>
            <w:shd w:val="clear" w:color="auto" w:fill="EEF3F8"/>
          </w:tcPr>
          <w:p w14:paraId="106D7A6A">
            <w:pPr>
              <w:spacing w:after="0" w:line="240" w:lineRule="auto"/>
              <w:jc w:val="left"/>
              <w:rPr>
                <w:sz w:val="20"/>
                <w:szCs w:val="24"/>
              </w:rPr>
            </w:pPr>
            <w:r>
              <w:rPr>
                <w:rFonts w:ascii="Arial" w:hAnsi="Arial" w:eastAsia="微软雅黑"/>
                <w:b w:val="0"/>
                <w:sz w:val="15"/>
                <w:szCs w:val="24"/>
              </w:rPr>
              <w:t>Reduction gearbox, differential, drive-axle housing, steering axle body, half shaft, propeller shaft, gear assemblies</w:t>
            </w:r>
          </w:p>
        </w:tc>
        <w:tc>
          <w:tcPr>
            <w:shd w:val="clear" w:color="auto" w:fill="EEF3F8"/>
          </w:tcPr>
          <w:p w14:paraId="451C7E22">
            <w:pPr>
              <w:spacing w:after="0" w:line="240" w:lineRule="auto"/>
              <w:jc w:val="center"/>
              <w:rPr>
                <w:sz w:val="20"/>
                <w:szCs w:val="24"/>
              </w:rPr>
            </w:pPr>
            <w:r>
              <w:rPr>
                <w:rFonts w:hint="eastAsia"/>
                <w:b w:val="0"/>
                <w:sz w:val="15"/>
                <w:szCs w:val="24"/>
                <w:lang w:val="en-US" w:eastAsia="zh-CN"/>
              </w:rPr>
              <w:t>1</w:t>
            </w:r>
            <w:r>
              <w:rPr>
                <w:rFonts w:ascii="Arial" w:hAnsi="Arial" w:eastAsia="微软雅黑"/>
                <w:b w:val="0"/>
                <w:sz w:val="15"/>
                <w:szCs w:val="24"/>
              </w:rPr>
              <w:t>2 months/2,000 h</w:t>
            </w:r>
          </w:p>
        </w:tc>
      </w:tr>
      <w:tr w14:paraId="402B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659" w:type="dxa"/>
          </w:tcPr>
          <w:p w14:paraId="2F139920">
            <w:pPr>
              <w:spacing w:after="0" w:line="240" w:lineRule="auto"/>
              <w:jc w:val="center"/>
              <w:rPr>
                <w:sz w:val="20"/>
                <w:szCs w:val="24"/>
              </w:rPr>
            </w:pPr>
            <w:r>
              <w:rPr>
                <w:rFonts w:ascii="Arial" w:hAnsi="Arial" w:eastAsia="微软雅黑"/>
                <w:b w:val="0"/>
                <w:sz w:val="15"/>
                <w:szCs w:val="24"/>
              </w:rPr>
              <w:t>Electrical system</w:t>
            </w:r>
          </w:p>
        </w:tc>
        <w:tc>
          <w:tcPr>
            <w:tcW w:w="5017" w:type="dxa"/>
          </w:tcPr>
          <w:p w14:paraId="36ED1FFE">
            <w:pPr>
              <w:spacing w:after="0" w:line="240" w:lineRule="auto"/>
              <w:jc w:val="left"/>
              <w:rPr>
                <w:sz w:val="20"/>
                <w:szCs w:val="24"/>
              </w:rPr>
            </w:pPr>
            <w:r>
              <w:rPr>
                <w:rFonts w:ascii="Arial" w:hAnsi="Arial" w:eastAsia="微软雅黑"/>
                <w:b w:val="0"/>
                <w:sz w:val="15"/>
                <w:szCs w:val="24"/>
              </w:rPr>
              <w:t>Traction lithium battery (excluding warehouse-series mini traction lithium batteries)</w:t>
            </w:r>
          </w:p>
        </w:tc>
        <w:tc>
          <w:p w14:paraId="4F4560DF">
            <w:pPr>
              <w:spacing w:after="0" w:line="240" w:lineRule="auto"/>
              <w:jc w:val="center"/>
              <w:rPr>
                <w:sz w:val="20"/>
                <w:szCs w:val="24"/>
              </w:rPr>
            </w:pPr>
            <w:r>
              <w:rPr>
                <w:rFonts w:ascii="Arial" w:hAnsi="Arial" w:eastAsia="微软雅黑"/>
                <w:b w:val="0"/>
                <w:sz w:val="15"/>
                <w:szCs w:val="24"/>
              </w:rPr>
              <w:t>12 months/2,000 h</w:t>
            </w:r>
          </w:p>
        </w:tc>
      </w:tr>
      <w:tr w14:paraId="4FA1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659" w:type="dxa"/>
            <w:shd w:val="clear" w:color="auto" w:fill="EEF3F8"/>
          </w:tcPr>
          <w:p w14:paraId="7E5178D6">
            <w:pPr>
              <w:spacing w:after="0" w:line="240" w:lineRule="auto"/>
              <w:jc w:val="center"/>
              <w:rPr>
                <w:sz w:val="20"/>
                <w:szCs w:val="24"/>
              </w:rPr>
            </w:pPr>
            <w:r>
              <w:rPr>
                <w:rFonts w:ascii="Arial" w:hAnsi="Arial" w:eastAsia="微软雅黑"/>
                <w:b w:val="0"/>
                <w:sz w:val="15"/>
                <w:szCs w:val="24"/>
              </w:rPr>
              <w:t>Electrical system</w:t>
            </w:r>
          </w:p>
        </w:tc>
        <w:tc>
          <w:tcPr>
            <w:tcW w:w="5017" w:type="dxa"/>
            <w:shd w:val="clear" w:color="auto" w:fill="EEF3F8"/>
          </w:tcPr>
          <w:p w14:paraId="10691123">
            <w:pPr>
              <w:spacing w:after="0" w:line="240" w:lineRule="auto"/>
              <w:jc w:val="left"/>
              <w:rPr>
                <w:sz w:val="20"/>
                <w:szCs w:val="24"/>
              </w:rPr>
            </w:pPr>
            <w:r>
              <w:rPr>
                <w:rFonts w:ascii="Arial" w:hAnsi="Arial" w:eastAsia="微软雅黑"/>
                <w:b w:val="0"/>
                <w:sz w:val="15"/>
                <w:szCs w:val="24"/>
              </w:rPr>
              <w:t>Warehouse-series mini traction lithium battery</w:t>
            </w:r>
          </w:p>
        </w:tc>
        <w:tc>
          <w:tcPr>
            <w:shd w:val="clear" w:color="auto" w:fill="EEF3F8"/>
          </w:tcPr>
          <w:p w14:paraId="119A12C3">
            <w:pPr>
              <w:spacing w:after="0" w:line="240" w:lineRule="auto"/>
              <w:jc w:val="center"/>
              <w:rPr>
                <w:sz w:val="20"/>
                <w:szCs w:val="24"/>
              </w:rPr>
            </w:pPr>
            <w:r>
              <w:rPr>
                <w:rFonts w:ascii="Arial" w:hAnsi="Arial" w:eastAsia="微软雅黑"/>
                <w:b w:val="0"/>
                <w:sz w:val="15"/>
                <w:szCs w:val="24"/>
              </w:rPr>
              <w:t>12 months/2,000 h</w:t>
            </w:r>
          </w:p>
        </w:tc>
      </w:tr>
      <w:tr w14:paraId="13ED0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659" w:type="dxa"/>
          </w:tcPr>
          <w:p w14:paraId="059D9A17">
            <w:pPr>
              <w:spacing w:after="0" w:line="240" w:lineRule="auto"/>
              <w:jc w:val="center"/>
              <w:rPr>
                <w:sz w:val="20"/>
                <w:szCs w:val="24"/>
              </w:rPr>
            </w:pPr>
            <w:r>
              <w:rPr>
                <w:rFonts w:ascii="Arial" w:hAnsi="Arial" w:eastAsia="微软雅黑"/>
                <w:b w:val="0"/>
                <w:sz w:val="15"/>
                <w:szCs w:val="24"/>
              </w:rPr>
              <w:t>Electrical system</w:t>
            </w:r>
          </w:p>
        </w:tc>
        <w:tc>
          <w:tcPr>
            <w:tcW w:w="5017" w:type="dxa"/>
          </w:tcPr>
          <w:p w14:paraId="6EAA6591">
            <w:pPr>
              <w:spacing w:after="0" w:line="240" w:lineRule="auto"/>
              <w:jc w:val="left"/>
              <w:rPr>
                <w:sz w:val="20"/>
                <w:szCs w:val="24"/>
              </w:rPr>
            </w:pPr>
            <w:r>
              <w:rPr>
                <w:rFonts w:ascii="Arial" w:hAnsi="Arial" w:eastAsia="微软雅黑"/>
                <w:b w:val="0"/>
                <w:sz w:val="15"/>
                <w:szCs w:val="24"/>
              </w:rPr>
              <w:t>Traction lead-acid battery</w:t>
            </w:r>
          </w:p>
        </w:tc>
        <w:tc>
          <w:p w14:paraId="27142D5F">
            <w:pPr>
              <w:spacing w:after="0" w:line="240" w:lineRule="auto"/>
              <w:jc w:val="center"/>
              <w:rPr>
                <w:sz w:val="20"/>
                <w:szCs w:val="24"/>
              </w:rPr>
            </w:pPr>
            <w:r>
              <w:rPr>
                <w:rFonts w:ascii="Arial" w:hAnsi="Arial" w:eastAsia="微软雅黑"/>
                <w:b w:val="0"/>
                <w:sz w:val="15"/>
                <w:szCs w:val="24"/>
              </w:rPr>
              <w:t>12 months/2,000 h</w:t>
            </w:r>
          </w:p>
        </w:tc>
      </w:tr>
      <w:tr w14:paraId="17DA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659" w:type="dxa"/>
            <w:shd w:val="clear" w:color="auto" w:fill="EEF3F8"/>
          </w:tcPr>
          <w:p w14:paraId="7ACF1318">
            <w:pPr>
              <w:spacing w:after="0" w:line="240" w:lineRule="auto"/>
              <w:jc w:val="center"/>
              <w:rPr>
                <w:sz w:val="20"/>
                <w:szCs w:val="24"/>
              </w:rPr>
            </w:pPr>
            <w:r>
              <w:rPr>
                <w:rFonts w:ascii="Arial" w:hAnsi="Arial" w:eastAsia="微软雅黑"/>
                <w:b w:val="0"/>
                <w:sz w:val="15"/>
                <w:szCs w:val="24"/>
              </w:rPr>
              <w:t>Electrical system</w:t>
            </w:r>
          </w:p>
        </w:tc>
        <w:tc>
          <w:tcPr>
            <w:tcW w:w="5017" w:type="dxa"/>
            <w:shd w:val="clear" w:color="auto" w:fill="EEF3F8"/>
          </w:tcPr>
          <w:p w14:paraId="399D7A73">
            <w:pPr>
              <w:spacing w:after="0" w:line="240" w:lineRule="auto"/>
              <w:jc w:val="left"/>
              <w:rPr>
                <w:sz w:val="20"/>
                <w:szCs w:val="24"/>
              </w:rPr>
            </w:pPr>
            <w:r>
              <w:rPr>
                <w:rFonts w:ascii="Arial" w:hAnsi="Arial" w:eastAsia="微软雅黑"/>
                <w:b w:val="0"/>
                <w:sz w:val="15"/>
                <w:szCs w:val="24"/>
              </w:rPr>
              <w:t>Electronic controller and electric motor</w:t>
            </w:r>
          </w:p>
        </w:tc>
        <w:tc>
          <w:tcPr>
            <w:shd w:val="clear" w:color="auto" w:fill="EEF3F8"/>
          </w:tcPr>
          <w:p w14:paraId="7DFE012B">
            <w:pPr>
              <w:spacing w:after="0" w:line="240" w:lineRule="auto"/>
              <w:jc w:val="center"/>
              <w:rPr>
                <w:sz w:val="20"/>
                <w:szCs w:val="24"/>
              </w:rPr>
            </w:pPr>
            <w:r>
              <w:rPr>
                <w:rFonts w:ascii="Arial" w:hAnsi="Arial" w:eastAsia="微软雅黑"/>
                <w:b w:val="0"/>
                <w:sz w:val="15"/>
                <w:szCs w:val="24"/>
              </w:rPr>
              <w:t>12 months/2,000 h</w:t>
            </w:r>
          </w:p>
        </w:tc>
      </w:tr>
      <w:tr w14:paraId="5215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jc w:val="center"/>
        </w:trPr>
        <w:tc>
          <w:tcPr>
            <w:tcW w:w="2659" w:type="dxa"/>
          </w:tcPr>
          <w:p w14:paraId="08748B38">
            <w:pPr>
              <w:spacing w:after="0" w:line="240" w:lineRule="auto"/>
              <w:jc w:val="center"/>
              <w:rPr>
                <w:sz w:val="20"/>
                <w:szCs w:val="24"/>
              </w:rPr>
            </w:pPr>
            <w:r>
              <w:rPr>
                <w:rFonts w:ascii="Arial" w:hAnsi="Arial" w:eastAsia="微软雅黑"/>
                <w:b w:val="0"/>
                <w:sz w:val="15"/>
                <w:szCs w:val="24"/>
              </w:rPr>
              <w:t>Electrical system</w:t>
            </w:r>
          </w:p>
        </w:tc>
        <w:tc>
          <w:tcPr>
            <w:tcW w:w="5017" w:type="dxa"/>
          </w:tcPr>
          <w:p w14:paraId="432C77CF">
            <w:pPr>
              <w:spacing w:after="0" w:line="240" w:lineRule="auto"/>
              <w:jc w:val="left"/>
              <w:rPr>
                <w:sz w:val="20"/>
                <w:szCs w:val="24"/>
              </w:rPr>
            </w:pPr>
            <w:r>
              <w:rPr>
                <w:rFonts w:ascii="Arial" w:hAnsi="Arial" w:eastAsia="微软雅黑"/>
                <w:b w:val="0"/>
                <w:sz w:val="15"/>
                <w:szCs w:val="24"/>
              </w:rPr>
              <w:t>Traction gel battery, starter battery, charger, electrical control box, solenoid valves, accelerator, electronic control handle, switches, vehicle wiring harness, lamps (excluding bulbs), battery water-cooling unit, A/C compressor, heater, instruments and display assembly</w:t>
            </w:r>
          </w:p>
        </w:tc>
        <w:tc>
          <w:p w14:paraId="41EDA819">
            <w:pPr>
              <w:spacing w:after="0" w:line="240" w:lineRule="auto"/>
              <w:jc w:val="center"/>
              <w:rPr>
                <w:sz w:val="20"/>
                <w:szCs w:val="24"/>
              </w:rPr>
            </w:pPr>
            <w:r>
              <w:rPr>
                <w:rFonts w:ascii="Arial" w:hAnsi="Arial" w:eastAsia="微软雅黑"/>
                <w:b w:val="0"/>
                <w:sz w:val="15"/>
                <w:szCs w:val="24"/>
              </w:rPr>
              <w:t>12 months/2,000 h</w:t>
            </w:r>
          </w:p>
        </w:tc>
      </w:tr>
      <w:tr w14:paraId="6874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659" w:type="dxa"/>
            <w:shd w:val="clear" w:color="auto" w:fill="EEF3F8"/>
          </w:tcPr>
          <w:p w14:paraId="0AAFFEC6">
            <w:pPr>
              <w:spacing w:after="0" w:line="240" w:lineRule="auto"/>
              <w:jc w:val="center"/>
              <w:rPr>
                <w:sz w:val="20"/>
                <w:szCs w:val="24"/>
              </w:rPr>
            </w:pPr>
            <w:r>
              <w:rPr>
                <w:rFonts w:ascii="Arial" w:hAnsi="Arial" w:eastAsia="微软雅黑"/>
                <w:b w:val="0"/>
                <w:sz w:val="15"/>
                <w:szCs w:val="24"/>
              </w:rPr>
              <w:t>Hydraulic system</w:t>
            </w:r>
          </w:p>
        </w:tc>
        <w:tc>
          <w:tcPr>
            <w:tcW w:w="5017" w:type="dxa"/>
            <w:shd w:val="clear" w:color="auto" w:fill="EEF3F8"/>
          </w:tcPr>
          <w:p w14:paraId="660F01ED">
            <w:pPr>
              <w:spacing w:after="0" w:line="240" w:lineRule="auto"/>
              <w:jc w:val="left"/>
              <w:rPr>
                <w:sz w:val="20"/>
                <w:szCs w:val="24"/>
              </w:rPr>
            </w:pPr>
            <w:r>
              <w:rPr>
                <w:rFonts w:ascii="Arial" w:hAnsi="Arial" w:eastAsia="微软雅黑"/>
                <w:b w:val="0"/>
                <w:sz w:val="15"/>
                <w:szCs w:val="24"/>
              </w:rPr>
              <w:t>Gear pump, control valve, steering unit, cylinders, speed-limiting valve, accumulator, hydraulic power unit, hydraulic hoses, steel oil pipes</w:t>
            </w:r>
          </w:p>
        </w:tc>
        <w:tc>
          <w:tcPr>
            <w:shd w:val="clear" w:color="auto" w:fill="EEF3F8"/>
          </w:tcPr>
          <w:p w14:paraId="3DACD057">
            <w:pPr>
              <w:spacing w:after="0" w:line="240" w:lineRule="auto"/>
              <w:jc w:val="center"/>
              <w:rPr>
                <w:sz w:val="20"/>
                <w:szCs w:val="24"/>
              </w:rPr>
            </w:pPr>
            <w:r>
              <w:rPr>
                <w:rFonts w:ascii="Arial" w:hAnsi="Arial" w:eastAsia="微软雅黑"/>
                <w:b w:val="0"/>
                <w:sz w:val="15"/>
                <w:szCs w:val="24"/>
              </w:rPr>
              <w:t>12 months/2,000 h</w:t>
            </w:r>
          </w:p>
        </w:tc>
      </w:tr>
      <w:tr w14:paraId="1790B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659" w:type="dxa"/>
          </w:tcPr>
          <w:p w14:paraId="7F444E91">
            <w:pPr>
              <w:spacing w:after="0" w:line="240" w:lineRule="auto"/>
              <w:jc w:val="center"/>
              <w:rPr>
                <w:sz w:val="20"/>
                <w:szCs w:val="24"/>
              </w:rPr>
            </w:pPr>
            <w:r>
              <w:rPr>
                <w:rFonts w:ascii="Arial" w:hAnsi="Arial" w:eastAsia="微软雅黑"/>
                <w:b w:val="0"/>
                <w:sz w:val="15"/>
                <w:szCs w:val="24"/>
              </w:rPr>
              <w:t>Cooling system</w:t>
            </w:r>
          </w:p>
        </w:tc>
        <w:tc>
          <w:tcPr>
            <w:tcW w:w="5017" w:type="dxa"/>
          </w:tcPr>
          <w:p w14:paraId="5DBF0D21">
            <w:pPr>
              <w:spacing w:after="0" w:line="240" w:lineRule="auto"/>
              <w:jc w:val="left"/>
              <w:rPr>
                <w:sz w:val="20"/>
                <w:szCs w:val="24"/>
              </w:rPr>
            </w:pPr>
            <w:r>
              <w:rPr>
                <w:rFonts w:ascii="Arial" w:hAnsi="Arial" w:eastAsia="微软雅黑"/>
                <w:b w:val="0"/>
                <w:sz w:val="15"/>
                <w:szCs w:val="24"/>
              </w:rPr>
              <w:t>Oil cooler, radiator, cooler, water pump</w:t>
            </w:r>
          </w:p>
        </w:tc>
        <w:tc>
          <w:p w14:paraId="7682728F">
            <w:pPr>
              <w:spacing w:after="0" w:line="240" w:lineRule="auto"/>
              <w:jc w:val="center"/>
              <w:rPr>
                <w:sz w:val="20"/>
                <w:szCs w:val="24"/>
              </w:rPr>
            </w:pPr>
            <w:r>
              <w:rPr>
                <w:rFonts w:ascii="Arial" w:hAnsi="Arial" w:eastAsia="微软雅黑"/>
                <w:b w:val="0"/>
                <w:sz w:val="15"/>
                <w:szCs w:val="24"/>
              </w:rPr>
              <w:t>12 months/2,000 h</w:t>
            </w:r>
          </w:p>
        </w:tc>
      </w:tr>
      <w:tr w14:paraId="57E9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2659" w:type="dxa"/>
            <w:shd w:val="clear" w:color="auto" w:fill="EEF3F8"/>
          </w:tcPr>
          <w:p w14:paraId="15272A25">
            <w:pPr>
              <w:spacing w:after="0" w:line="240" w:lineRule="auto"/>
              <w:jc w:val="center"/>
              <w:rPr>
                <w:sz w:val="20"/>
                <w:szCs w:val="24"/>
              </w:rPr>
            </w:pPr>
            <w:r>
              <w:rPr>
                <w:rFonts w:ascii="Arial" w:hAnsi="Arial" w:eastAsia="微软雅黑"/>
                <w:b w:val="0"/>
                <w:sz w:val="15"/>
                <w:szCs w:val="24"/>
              </w:rPr>
              <w:t>Braking system</w:t>
            </w:r>
          </w:p>
        </w:tc>
        <w:tc>
          <w:tcPr>
            <w:tcW w:w="5017" w:type="dxa"/>
            <w:shd w:val="clear" w:color="auto" w:fill="EEF3F8"/>
          </w:tcPr>
          <w:p w14:paraId="09F181DD">
            <w:pPr>
              <w:spacing w:after="0" w:line="240" w:lineRule="auto"/>
              <w:jc w:val="left"/>
              <w:rPr>
                <w:sz w:val="20"/>
                <w:szCs w:val="24"/>
              </w:rPr>
            </w:pPr>
            <w:r>
              <w:rPr>
                <w:rFonts w:ascii="Arial" w:hAnsi="Arial" w:eastAsia="微软雅黑"/>
                <w:b w:val="0"/>
                <w:sz w:val="15"/>
                <w:szCs w:val="24"/>
              </w:rPr>
              <w:t xml:space="preserve"> Brake drum, brake valve, brake pump, Bundy tube, booster, parking brake, accumulator, brake assembly</w:t>
            </w:r>
          </w:p>
        </w:tc>
        <w:tc>
          <w:tcPr>
            <w:shd w:val="clear" w:color="auto" w:fill="EEF3F8"/>
          </w:tcPr>
          <w:p w14:paraId="1EAAC453">
            <w:pPr>
              <w:spacing w:after="0" w:line="240" w:lineRule="auto"/>
              <w:jc w:val="center"/>
              <w:rPr>
                <w:sz w:val="20"/>
                <w:szCs w:val="24"/>
              </w:rPr>
            </w:pPr>
            <w:r>
              <w:rPr>
                <w:rFonts w:ascii="Arial" w:hAnsi="Arial" w:eastAsia="微软雅黑"/>
                <w:b w:val="0"/>
                <w:sz w:val="15"/>
                <w:szCs w:val="24"/>
              </w:rPr>
              <w:t>12 months/2,000 h</w:t>
            </w:r>
          </w:p>
        </w:tc>
      </w:tr>
      <w:tr w14:paraId="5421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2659" w:type="dxa"/>
          </w:tcPr>
          <w:p w14:paraId="54F085FD">
            <w:pPr>
              <w:spacing w:after="0" w:line="240" w:lineRule="auto"/>
              <w:jc w:val="center"/>
              <w:rPr>
                <w:sz w:val="20"/>
                <w:szCs w:val="24"/>
              </w:rPr>
            </w:pPr>
            <w:r>
              <w:rPr>
                <w:rFonts w:ascii="Arial" w:hAnsi="Arial" w:eastAsia="微软雅黑"/>
                <w:b w:val="0"/>
                <w:sz w:val="15"/>
                <w:szCs w:val="24"/>
              </w:rPr>
              <w:t>Other systems</w:t>
            </w:r>
          </w:p>
        </w:tc>
        <w:tc>
          <w:tcPr>
            <w:tcW w:w="5017" w:type="dxa"/>
          </w:tcPr>
          <w:p w14:paraId="10470E4F">
            <w:pPr>
              <w:spacing w:after="0" w:line="240" w:lineRule="auto"/>
              <w:jc w:val="left"/>
              <w:rPr>
                <w:sz w:val="20"/>
                <w:szCs w:val="24"/>
              </w:rPr>
            </w:pPr>
            <w:r>
              <w:rPr>
                <w:rFonts w:ascii="Arial" w:hAnsi="Arial" w:eastAsia="微软雅黑"/>
                <w:b w:val="0"/>
                <w:sz w:val="15"/>
                <w:szCs w:val="24"/>
              </w:rPr>
              <w:t>Chains, forks, steering wheel, steering column, rims, hubs, shafts, engine hood and other sheet-metal parts</w:t>
            </w:r>
          </w:p>
        </w:tc>
        <w:tc>
          <w:p w14:paraId="0D825201">
            <w:pPr>
              <w:spacing w:after="0" w:line="240" w:lineRule="auto"/>
              <w:jc w:val="center"/>
              <w:rPr>
                <w:sz w:val="20"/>
                <w:szCs w:val="24"/>
              </w:rPr>
            </w:pPr>
            <w:r>
              <w:rPr>
                <w:rFonts w:ascii="Arial" w:hAnsi="Arial" w:eastAsia="微软雅黑"/>
                <w:b w:val="0"/>
                <w:sz w:val="15"/>
                <w:szCs w:val="24"/>
              </w:rPr>
              <w:t>12 months/2,000 h</w:t>
            </w:r>
          </w:p>
        </w:tc>
      </w:tr>
      <w:tr w14:paraId="23FF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659" w:type="dxa"/>
            <w:shd w:val="clear" w:color="auto" w:fill="EEF3F8"/>
          </w:tcPr>
          <w:p w14:paraId="36C8A079">
            <w:pPr>
              <w:spacing w:after="0" w:line="240" w:lineRule="auto"/>
              <w:jc w:val="center"/>
              <w:rPr>
                <w:sz w:val="20"/>
                <w:szCs w:val="24"/>
              </w:rPr>
            </w:pPr>
            <w:r>
              <w:rPr>
                <w:rFonts w:ascii="Arial" w:hAnsi="Arial" w:eastAsia="微软雅黑"/>
                <w:b w:val="0"/>
                <w:sz w:val="15"/>
                <w:szCs w:val="24"/>
              </w:rPr>
              <w:t>Other unlisted parts</w:t>
            </w:r>
          </w:p>
        </w:tc>
        <w:tc>
          <w:tcPr>
            <w:tcW w:w="5017" w:type="dxa"/>
            <w:shd w:val="clear" w:color="auto" w:fill="EEF3F8"/>
          </w:tcPr>
          <w:p w14:paraId="27E259EE">
            <w:pPr>
              <w:spacing w:after="0" w:line="240" w:lineRule="auto"/>
              <w:jc w:val="left"/>
              <w:rPr>
                <w:sz w:val="20"/>
                <w:szCs w:val="24"/>
              </w:rPr>
            </w:pPr>
          </w:p>
        </w:tc>
        <w:tc>
          <w:tcPr>
            <w:shd w:val="clear" w:color="auto" w:fill="EEF3F8"/>
          </w:tcPr>
          <w:p w14:paraId="327A86CF">
            <w:pPr>
              <w:spacing w:after="0" w:line="240" w:lineRule="auto"/>
              <w:jc w:val="center"/>
              <w:rPr>
                <w:sz w:val="20"/>
                <w:szCs w:val="24"/>
              </w:rPr>
            </w:pPr>
            <w:r>
              <w:rPr>
                <w:rFonts w:ascii="Arial" w:hAnsi="Arial" w:eastAsia="微软雅黑"/>
                <w:b w:val="0"/>
                <w:sz w:val="15"/>
                <w:szCs w:val="24"/>
              </w:rPr>
              <w:t>6 months or 1,000 h</w:t>
            </w:r>
          </w:p>
        </w:tc>
      </w:tr>
    </w:tbl>
    <w:p w14:paraId="4F59EC09">
      <w:pPr>
        <w:keepLines/>
        <w:rPr>
          <w:rFonts w:ascii="Arial" w:hAnsi="Arial"/>
          <w:i/>
          <w:color w:val="auto"/>
        </w:rPr>
      </w:pPr>
    </w:p>
    <w:p w14:paraId="4E9A1E23">
      <w:pPr>
        <w:keepLines/>
      </w:pPr>
      <w:r>
        <w:rPr>
          <w:rFonts w:ascii="Arial" w:hAnsi="Arial"/>
          <w:i/>
          <w:color w:val="auto"/>
        </w:rPr>
        <w:t>2.4 Parts affected by quality issues arising under Clauses 5 and 6 of this warranty are excluded from warranty coverage.</w:t>
      </w:r>
    </w:p>
    <w:p w14:paraId="3CD612D3">
      <w:pPr>
        <w:pStyle w:val="3"/>
        <w:rPr>
          <w:rFonts w:hint="default" w:eastAsia="宋体"/>
          <w:lang w:val="en-US" w:eastAsia="zh-CN"/>
        </w:rPr>
      </w:pPr>
      <w:r>
        <w:t xml:space="preserve">3. </w:t>
      </w:r>
      <w:r>
        <w:rPr>
          <w:rFonts w:hint="eastAsia" w:eastAsia="宋体"/>
          <w:lang w:val="en-US" w:eastAsia="zh-CN"/>
        </w:rPr>
        <w:t>After-Sale Service Ranges</w:t>
      </w:r>
    </w:p>
    <w:p w14:paraId="132EC702">
      <w:pPr>
        <w:keepLines/>
        <w:rPr>
          <w:rFonts w:hint="eastAsia" w:ascii="Arial" w:hAnsi="Arial"/>
          <w:i/>
          <w:color w:val="auto"/>
          <w:highlight w:val="yellow"/>
          <w:lang w:eastAsia="zh-CN"/>
        </w:rPr>
      </w:pPr>
    </w:p>
    <w:p w14:paraId="013FBC1E">
      <w:pPr>
        <w:keepLines/>
        <w:rPr>
          <w:rFonts w:hint="eastAsia"/>
          <w:b w:val="0"/>
          <w:highlight w:val="yellow"/>
          <w:lang w:eastAsia="zh-CN"/>
        </w:rPr>
      </w:pPr>
      <w:r>
        <w:rPr>
          <w:rFonts w:hint="eastAsia" w:ascii="Arial" w:hAnsi="Arial"/>
          <w:i/>
          <w:color w:val="auto"/>
          <w:highlight w:val="yellow"/>
          <w:lang w:eastAsia="zh-CN"/>
        </w:rPr>
        <w:t>3.1 For user products located outside TLERA’s authorized service network coverage or in remote areas, if a fault can be simply remedied, TLERA may, at its discretion, ship the necessary replacement parts to the user and provide essential technical guidance for the user to perform the repair independently. Shipping costs for the parts shall be borne by TLERA.</w:t>
      </w:r>
    </w:p>
    <w:p w14:paraId="5A52F114">
      <w:pPr>
        <w:keepLines/>
        <w:rPr>
          <w:rFonts w:hint="eastAsia" w:ascii="Arial" w:hAnsi="Arial"/>
          <w:i/>
          <w:color w:val="auto"/>
          <w:highlight w:val="yellow"/>
          <w:lang w:eastAsia="zh-CN"/>
        </w:rPr>
      </w:pPr>
    </w:p>
    <w:p w14:paraId="71B60CFB">
      <w:pPr>
        <w:keepLines/>
        <w:rPr>
          <w:rFonts w:hint="eastAsia" w:ascii="Arial" w:hAnsi="Arial"/>
          <w:i/>
          <w:color w:val="auto"/>
          <w:highlight w:val="yellow"/>
          <w:lang w:eastAsia="zh-CN"/>
        </w:rPr>
      </w:pPr>
      <w:r>
        <w:rPr>
          <w:rFonts w:hint="eastAsia" w:ascii="Arial" w:hAnsi="Arial"/>
          <w:i/>
          <w:color w:val="auto"/>
          <w:highlight w:val="yellow"/>
          <w:lang w:eastAsia="zh-CN"/>
        </w:rPr>
        <w:t>3.2 For complex faults requiring specialized equipment or extensive disassembly and repair, TLERA shall engage a qualified third-party service provider near the user’s location to carry out on-site or in-shop repairs. Required replacement parts will be shipped by TLERA to such service provider, with shipping costs borne by TLERA. Labor charges and other related fees of the service provider shall be settled separately between TLERA and the provider.</w:t>
      </w:r>
    </w:p>
    <w:p w14:paraId="40294F21">
      <w:pPr>
        <w:keepLines/>
        <w:rPr>
          <w:rFonts w:hint="eastAsia" w:ascii="Arial" w:hAnsi="Arial"/>
          <w:i/>
          <w:color w:val="auto"/>
          <w:lang w:eastAsia="zh-CN"/>
        </w:rPr>
      </w:pPr>
    </w:p>
    <w:p w14:paraId="038D45FB">
      <w:pPr>
        <w:keepLines/>
        <w:rPr>
          <w:rFonts w:hint="eastAsia"/>
          <w:b w:val="0"/>
          <w:lang w:eastAsia="zh-CN"/>
        </w:rPr>
      </w:pPr>
      <w:r>
        <w:rPr>
          <w:rFonts w:hint="eastAsia" w:ascii="Arial" w:hAnsi="Arial"/>
          <w:i/>
          <w:color w:val="auto"/>
          <w:lang w:eastAsia="zh-CN"/>
        </w:rPr>
        <w:t>3.3 In all cases, the user shall cooperate with TLERA or its designated repair party by providing necessary equipment information, fault descriptions, and on-site assistance to ensure smooth repair progress. Any additional costs or delays arising from the user’s failure to cooperate shall be borne by the user.</w:t>
      </w:r>
    </w:p>
    <w:p w14:paraId="1C34C75E">
      <w:pPr>
        <w:keepLines/>
        <w:rPr>
          <w:rFonts w:hint="eastAsia" w:ascii="Arial" w:hAnsi="Arial"/>
          <w:i/>
          <w:color w:val="auto"/>
          <w:lang w:eastAsia="zh-CN"/>
        </w:rPr>
      </w:pPr>
    </w:p>
    <w:p w14:paraId="293D22C8">
      <w:pPr>
        <w:keepLines/>
        <w:rPr>
          <w:rFonts w:ascii="Arial" w:hAnsi="Arial"/>
          <w:i/>
          <w:color w:val="auto"/>
        </w:rPr>
      </w:pPr>
      <w:r>
        <w:rPr>
          <w:rFonts w:hint="eastAsia" w:ascii="Arial" w:hAnsi="Arial"/>
          <w:i/>
          <w:color w:val="auto"/>
          <w:lang w:eastAsia="zh-CN"/>
        </w:rPr>
        <w:t>3.4 The repair services described in this clause do not include product function upgrades or modifications, and the scope is limited to replacement or repair of faulty components. Should the user require upgrade or modification services, separate negotiation and agreement with TLERA shall be required.</w:t>
      </w:r>
    </w:p>
    <w:p w14:paraId="4F975CDD">
      <w:pPr>
        <w:pStyle w:val="3"/>
      </w:pPr>
      <w:r>
        <w:t>4. Warranty Conditions</w:t>
      </w:r>
    </w:p>
    <w:p w14:paraId="7AF46E1D">
      <w:pPr>
        <w:keepLines/>
        <w:rPr>
          <w:color w:val="auto"/>
        </w:rPr>
      </w:pPr>
      <w:r>
        <w:rPr>
          <w:rFonts w:ascii="Arial" w:hAnsi="Arial"/>
          <w:i/>
          <w:color w:val="595959"/>
        </w:rPr>
        <w:br w:type="textWrapping"/>
      </w:r>
      <w:r>
        <w:rPr>
          <w:rFonts w:ascii="Arial" w:hAnsi="Arial"/>
          <w:i/>
          <w:color w:val="auto"/>
        </w:rPr>
        <w:t xml:space="preserve">If a product fails, the user must promptly contact </w:t>
      </w:r>
      <w:r>
        <w:rPr>
          <w:rFonts w:hint="eastAsia"/>
          <w:i/>
          <w:color w:val="auto"/>
          <w:lang w:eastAsia="zh-CN"/>
        </w:rPr>
        <w:t>TLERA</w:t>
      </w:r>
      <w:r>
        <w:rPr>
          <w:rFonts w:ascii="Arial" w:hAnsi="Arial"/>
          <w:i/>
          <w:color w:val="auto"/>
        </w:rPr>
        <w:t>-designated service location.</w:t>
      </w:r>
    </w:p>
    <w:p w14:paraId="4363A0C8">
      <w:pPr>
        <w:pStyle w:val="3"/>
      </w:pPr>
      <w:r>
        <w:t>5. Damage Not Covered by Warranty</w:t>
      </w:r>
    </w:p>
    <w:p w14:paraId="170287EA">
      <w:pPr>
        <w:keepLines/>
      </w:pPr>
      <w:r>
        <w:rPr>
          <w:rFonts w:ascii="Arial" w:hAnsi="Arial"/>
          <w:i/>
          <w:color w:val="595959"/>
        </w:rPr>
        <w:br w:type="textWrapping"/>
      </w:r>
      <w:r>
        <w:rPr>
          <w:rFonts w:ascii="Arial" w:hAnsi="Arial"/>
          <w:i/>
          <w:color w:val="auto"/>
        </w:rPr>
        <w:t>5.1 Failure to provide a valid invoice or other legal documents proving that the purchased product is within the statutory warranty period.</w:t>
      </w:r>
    </w:p>
    <w:p w14:paraId="5BCB9D76">
      <w:pPr>
        <w:keepLines/>
      </w:pPr>
      <w:r>
        <w:rPr>
          <w:rFonts w:ascii="Arial" w:hAnsi="Arial"/>
          <w:i/>
          <w:color w:val="595959"/>
        </w:rPr>
        <w:br w:type="textWrapping"/>
      </w:r>
      <w:r>
        <w:rPr>
          <w:rFonts w:ascii="Arial" w:hAnsi="Arial"/>
          <w:i/>
          <w:color w:val="auto"/>
        </w:rPr>
        <w:t>5.2 Claims for repair or replacement arising from failure to operate or maintain the product in accordance with the product manual:</w:t>
      </w:r>
    </w:p>
    <w:p w14:paraId="4F8C3F8B">
      <w:pPr>
        <w:keepLines/>
        <w:rPr>
          <w:color w:val="auto"/>
        </w:rPr>
      </w:pPr>
      <w:r>
        <w:rPr>
          <w:rFonts w:ascii="Arial" w:hAnsi="Arial"/>
          <w:i/>
          <w:color w:val="595959"/>
        </w:rPr>
        <w:br w:type="textWrapping"/>
      </w:r>
      <w:r>
        <w:rPr>
          <w:rFonts w:ascii="Arial" w:hAnsi="Arial"/>
          <w:i/>
          <w:color w:val="auto"/>
        </w:rPr>
        <w:t>5.2.1 Damage caused by operating errors or overload operation.</w:t>
      </w:r>
    </w:p>
    <w:p w14:paraId="2E6DA30E">
      <w:pPr>
        <w:keepLines/>
      </w:pPr>
      <w:r>
        <w:rPr>
          <w:rFonts w:ascii="Arial" w:hAnsi="Arial"/>
          <w:i/>
          <w:color w:val="595959"/>
        </w:rPr>
        <w:br w:type="textWrapping"/>
      </w:r>
      <w:r>
        <w:rPr>
          <w:rFonts w:ascii="Arial" w:hAnsi="Arial"/>
          <w:i/>
          <w:color w:val="auto"/>
        </w:rPr>
        <w:t>5.2.2 Damage caused by neglected maintenance, incorrect maintenance, or improper operation, including but not limited to failure to correctly select, use and maintain equipment in harsh environments or conditions such as foundries, timber markets, stone markets, cement plants and cold stores, where dust, moisture, debris or corrosive agents enter the equipment.</w:t>
      </w:r>
    </w:p>
    <w:p w14:paraId="71BCDC5E">
      <w:pPr>
        <w:keepLines/>
      </w:pPr>
      <w:r>
        <w:rPr>
          <w:rFonts w:ascii="Arial" w:hAnsi="Arial"/>
          <w:i/>
          <w:color w:val="595959"/>
        </w:rPr>
        <w:br w:type="textWrapping"/>
      </w:r>
      <w:r>
        <w:rPr>
          <w:rFonts w:ascii="Arial" w:hAnsi="Arial"/>
          <w:i/>
          <w:color w:val="auto"/>
        </w:rPr>
        <w:t>5.3 Damage caused by abnormal environmental factors, including unsuitable or harsh operating conditions involving temperature, altitude, gradients, magnetic fields, dust, rainwater, chemicals or corrosive pollution, where the damage is not attributable to the product’s own quality.</w:t>
      </w:r>
    </w:p>
    <w:p w14:paraId="05BAF31E">
      <w:pPr>
        <w:keepLines/>
        <w:rPr>
          <w:rFonts w:ascii="Arial" w:hAnsi="Arial"/>
          <w:i/>
          <w:color w:val="auto"/>
        </w:rPr>
      </w:pPr>
    </w:p>
    <w:p w14:paraId="187C68FE">
      <w:pPr>
        <w:keepLines/>
        <w:rPr>
          <w:color w:val="auto"/>
        </w:rPr>
      </w:pPr>
      <w:r>
        <w:rPr>
          <w:rFonts w:ascii="Arial" w:hAnsi="Arial"/>
          <w:i/>
          <w:color w:val="auto"/>
        </w:rPr>
        <w:t>5.4 Damage caused by natural disasters or force majeure.</w:t>
      </w:r>
    </w:p>
    <w:p w14:paraId="2D0922A3">
      <w:pPr>
        <w:keepLines/>
        <w:rPr>
          <w:rFonts w:ascii="Arial" w:hAnsi="Arial"/>
          <w:i/>
          <w:color w:val="auto"/>
        </w:rPr>
      </w:pPr>
    </w:p>
    <w:p w14:paraId="23D87944">
      <w:pPr>
        <w:keepLines/>
        <w:rPr>
          <w:color w:val="auto"/>
        </w:rPr>
      </w:pPr>
      <w:r>
        <w:rPr>
          <w:rFonts w:ascii="Arial" w:hAnsi="Arial"/>
          <w:i/>
          <w:color w:val="auto"/>
        </w:rPr>
        <w:t>5.5 Damage caused by accidents not attributable to product quality.</w:t>
      </w:r>
    </w:p>
    <w:p w14:paraId="378E34AA">
      <w:pPr>
        <w:keepLines/>
        <w:rPr>
          <w:rFonts w:ascii="Arial" w:hAnsi="Arial"/>
          <w:i/>
          <w:color w:val="auto"/>
        </w:rPr>
      </w:pPr>
    </w:p>
    <w:p w14:paraId="7448488C">
      <w:pPr>
        <w:keepLines/>
        <w:rPr>
          <w:color w:val="auto"/>
        </w:rPr>
      </w:pPr>
      <w:r>
        <w:rPr>
          <w:rFonts w:ascii="Arial" w:hAnsi="Arial"/>
          <w:i/>
          <w:color w:val="auto"/>
        </w:rPr>
        <w:t>5.6 Further damage caused by improper user handling or continued use after a fault occurs.</w:t>
      </w:r>
    </w:p>
    <w:p w14:paraId="3C058BF7">
      <w:pPr>
        <w:keepLines/>
        <w:rPr>
          <w:rFonts w:ascii="Arial" w:hAnsi="Arial"/>
          <w:i/>
          <w:color w:val="auto"/>
        </w:rPr>
      </w:pPr>
    </w:p>
    <w:p w14:paraId="28495715">
      <w:pPr>
        <w:keepLines/>
        <w:rPr>
          <w:color w:val="auto"/>
        </w:rPr>
      </w:pPr>
      <w:r>
        <w:rPr>
          <w:rFonts w:ascii="Arial" w:hAnsi="Arial"/>
          <w:i/>
          <w:color w:val="auto"/>
        </w:rPr>
        <w:t>5.7 Failure to promptly report a damaged hour meter, or intentional alteration or damage of hour-meter data.</w:t>
      </w:r>
    </w:p>
    <w:p w14:paraId="0FBCBB1C">
      <w:pPr>
        <w:keepLines/>
        <w:rPr>
          <w:rFonts w:ascii="Arial" w:hAnsi="Arial"/>
          <w:i/>
          <w:color w:val="auto"/>
        </w:rPr>
      </w:pPr>
    </w:p>
    <w:p w14:paraId="34FED1B3">
      <w:pPr>
        <w:keepLines/>
      </w:pPr>
      <w:r>
        <w:rPr>
          <w:rFonts w:ascii="Arial" w:hAnsi="Arial"/>
          <w:i/>
          <w:color w:val="auto"/>
        </w:rPr>
        <w:t xml:space="preserve">5.8 Damage caused by any modification, alteration, repair or disassembly carried out by the user without </w:t>
      </w:r>
      <w:r>
        <w:rPr>
          <w:rFonts w:hint="eastAsia"/>
          <w:i/>
          <w:color w:val="auto"/>
          <w:lang w:eastAsia="zh-CN"/>
        </w:rPr>
        <w:t>TLERA</w:t>
      </w:r>
      <w:r>
        <w:rPr>
          <w:rFonts w:ascii="Arial" w:hAnsi="Arial"/>
          <w:i/>
          <w:color w:val="auto"/>
        </w:rPr>
        <w:t>’s written authorization or approval, which changes the vehicle’s original condition, including installation of parts or attachments outside the original forklift design.</w:t>
      </w:r>
    </w:p>
    <w:p w14:paraId="1C665B9D">
      <w:pPr>
        <w:keepLines/>
      </w:pPr>
      <w:r>
        <w:rPr>
          <w:rFonts w:ascii="Arial" w:hAnsi="Arial"/>
          <w:i/>
          <w:color w:val="595959"/>
        </w:rPr>
        <w:br w:type="textWrapping"/>
      </w:r>
      <w:r>
        <w:rPr>
          <w:rFonts w:ascii="Arial" w:hAnsi="Arial"/>
          <w:i/>
          <w:color w:val="auto"/>
        </w:rPr>
        <w:t>5.9 Damage caused by use of non-</w:t>
      </w:r>
      <w:r>
        <w:rPr>
          <w:rFonts w:hint="eastAsia"/>
          <w:i/>
          <w:color w:val="auto"/>
          <w:lang w:eastAsia="zh-CN"/>
        </w:rPr>
        <w:t>TLERA</w:t>
      </w:r>
      <w:r>
        <w:rPr>
          <w:rFonts w:ascii="Arial" w:hAnsi="Arial"/>
          <w:i/>
          <w:color w:val="auto"/>
        </w:rPr>
        <w:t xml:space="preserve"> matching products (such as chargers, traction batteries and traction lithium batteries), non-genuine </w:t>
      </w:r>
      <w:r>
        <w:rPr>
          <w:rFonts w:hint="eastAsia"/>
          <w:i/>
          <w:color w:val="auto"/>
          <w:lang w:eastAsia="zh-CN"/>
        </w:rPr>
        <w:t>TLERA</w:t>
      </w:r>
      <w:r>
        <w:rPr>
          <w:rFonts w:ascii="Arial" w:hAnsi="Arial"/>
          <w:i/>
          <w:color w:val="auto"/>
        </w:rPr>
        <w:t xml:space="preserve"> parts, or non-compliant oils, gases, coolant or electrolyte; and damage caused by repairs performed by personnel not approved by </w:t>
      </w:r>
      <w:r>
        <w:rPr>
          <w:rFonts w:hint="eastAsia"/>
          <w:i/>
          <w:color w:val="auto"/>
          <w:lang w:eastAsia="zh-CN"/>
        </w:rPr>
        <w:t>TLERA</w:t>
      </w:r>
      <w:r>
        <w:rPr>
          <w:rFonts w:ascii="Arial" w:hAnsi="Arial"/>
          <w:i/>
          <w:color w:val="auto"/>
        </w:rPr>
        <w:t>.</w:t>
      </w:r>
    </w:p>
    <w:p w14:paraId="0BA6C4B9">
      <w:pPr>
        <w:keepLines/>
        <w:rPr>
          <w:rFonts w:ascii="Arial" w:hAnsi="Arial"/>
          <w:i/>
          <w:color w:val="auto"/>
        </w:rPr>
      </w:pPr>
    </w:p>
    <w:p w14:paraId="56A1C311">
      <w:pPr>
        <w:keepLines/>
        <w:rPr>
          <w:color w:val="auto"/>
        </w:rPr>
      </w:pPr>
      <w:r>
        <w:rPr>
          <w:rFonts w:ascii="Arial" w:hAnsi="Arial"/>
          <w:i/>
          <w:color w:val="auto"/>
        </w:rPr>
        <w:t>5.10 Parts whose performance can be restored through tightening, simple adjustment or repair.</w:t>
      </w:r>
    </w:p>
    <w:p w14:paraId="700BE36E">
      <w:pPr>
        <w:pStyle w:val="3"/>
      </w:pPr>
      <w:r>
        <w:t>6. Wear and Consumable Parts Not Covered</w:t>
      </w:r>
    </w:p>
    <w:p w14:paraId="396B69D1">
      <w:pPr>
        <w:keepLines/>
      </w:pPr>
      <w:r>
        <w:rPr>
          <w:rFonts w:ascii="Arial" w:hAnsi="Arial"/>
          <w:i/>
          <w:color w:val="595959"/>
        </w:rPr>
        <w:br w:type="textWrapping"/>
      </w:r>
      <w:r>
        <w:rPr>
          <w:rFonts w:ascii="Arial" w:hAnsi="Arial"/>
          <w:i/>
          <w:color w:val="auto"/>
        </w:rPr>
        <w:t>6.1 Parts requiring replacement during normal maintenance, including but not limited to fluids (hydraulic oil, coolant, electrolyte, brake fluid, lubricants, refrigerants, etc.), oil filters, air filters and similar items that must be replaced during the warranty period according to maintenance requirements.</w:t>
      </w:r>
    </w:p>
    <w:p w14:paraId="10AEAA70">
      <w:pPr>
        <w:keepLines/>
      </w:pPr>
      <w:r>
        <w:rPr>
          <w:rFonts w:ascii="Arial" w:hAnsi="Arial"/>
          <w:i/>
          <w:color w:val="auto"/>
        </w:rPr>
        <w:t>6.2 Electrical parts requiring replacement due to normal wear, including but not limited to connectors, capacitors, bulbs, motor brushes and fuses.</w:t>
      </w:r>
    </w:p>
    <w:p w14:paraId="7025DD44">
      <w:pPr>
        <w:keepLines/>
      </w:pPr>
      <w:r>
        <w:rPr>
          <w:rFonts w:ascii="Arial" w:hAnsi="Arial"/>
          <w:i/>
          <w:color w:val="595959"/>
        </w:rPr>
        <w:br w:type="textWrapping"/>
      </w:r>
      <w:r>
        <w:rPr>
          <w:rFonts w:ascii="Arial" w:hAnsi="Arial"/>
          <w:i/>
          <w:color w:val="auto"/>
        </w:rPr>
        <w:t>6.3 Normal product wear, vibration and whole-machine noise, or repairs due to normal component ageing, including but not limited to tires, brake linings, trim panels, seals, sealing strips, glass products, heat-insulation pads, cushions, grease cups, cables, rain covers, plastic covers, low-pressure rubber hoses, paint, and similar items requiring replacement under maintenance requirements.</w:t>
      </w:r>
    </w:p>
    <w:p w14:paraId="31D5886C">
      <w:pPr>
        <w:pStyle w:val="3"/>
      </w:pPr>
      <w:r>
        <w:t>7. Effective Scope</w:t>
      </w:r>
    </w:p>
    <w:p w14:paraId="6210745B">
      <w:pPr>
        <w:keepLines/>
        <w:rPr>
          <w:color w:val="auto"/>
        </w:rPr>
      </w:pPr>
      <w:r>
        <w:rPr>
          <w:rFonts w:ascii="Arial" w:hAnsi="Arial"/>
          <w:i/>
          <w:color w:val="auto"/>
        </w:rPr>
        <w:t>This version of the warranty certificate applies to vehicles shipped on or after 1 May 202</w:t>
      </w:r>
      <w:r>
        <w:rPr>
          <w:rFonts w:hint="eastAsia"/>
          <w:i/>
          <w:color w:val="auto"/>
          <w:lang w:val="en-US" w:eastAsia="zh-CN"/>
        </w:rPr>
        <w:t>6</w:t>
      </w:r>
      <w:r>
        <w:rPr>
          <w:rFonts w:ascii="Arial" w:hAnsi="Arial"/>
          <w:i/>
          <w:color w:val="auto"/>
        </w:rPr>
        <w:t>.</w:t>
      </w:r>
    </w:p>
    <w:p w14:paraId="5DC7E000">
      <w:pPr>
        <w:pStyle w:val="3"/>
      </w:pPr>
      <w:bookmarkStart w:id="0" w:name="_GoBack"/>
      <w:bookmarkEnd w:id="0"/>
      <w:r>
        <w:t>8. Right of Interpretation</w:t>
      </w:r>
    </w:p>
    <w:p w14:paraId="7F0C922C">
      <w:pPr>
        <w:keepLines/>
        <w:rPr>
          <w:color w:val="auto"/>
        </w:rPr>
      </w:pPr>
      <w:r>
        <w:rPr>
          <w:rFonts w:ascii="Arial" w:hAnsi="Arial"/>
          <w:i/>
          <w:color w:val="auto"/>
        </w:rPr>
        <w:t>The company reserves the right of final interpretation.</w:t>
      </w:r>
    </w:p>
    <w:p w14:paraId="00EC2675">
      <w:r>
        <w:br w:type="textWrapping"/>
      </w:r>
    </w:p>
    <w:p w14:paraId="339F8174">
      <w:pPr>
        <w:jc w:val="center"/>
      </w:pPr>
      <w:r>
        <w:rPr>
          <w:b/>
          <w:color w:val="1F4E79"/>
          <w:sz w:val="32"/>
        </w:rPr>
        <w:t>QS486073</w:t>
      </w:r>
    </w:p>
    <w:p w14:paraId="08163E5E">
      <w:pPr>
        <w:jc w:val="center"/>
      </w:pPr>
      <w:r>
        <w:t xml:space="preserve"> © </w:t>
      </w:r>
      <w:r>
        <w:rPr>
          <w:rFonts w:hint="eastAsia"/>
          <w:lang w:eastAsia="zh-CN"/>
        </w:rPr>
        <w:t>TLERA</w:t>
      </w:r>
      <w:r>
        <w:rPr>
          <w:rFonts w:hint="eastAsia"/>
          <w:lang w:val="en-US" w:eastAsia="zh-CN"/>
        </w:rPr>
        <w:t xml:space="preserve"> </w:t>
      </w:r>
      <w:r>
        <w:t>All rights reserved.</w:t>
      </w:r>
    </w:p>
    <w:sectPr>
      <w:headerReference r:id="rId5" w:type="default"/>
      <w:footerReference r:id="rId6" w:type="default"/>
      <w:pgSz w:w="12240" w:h="15840"/>
      <w:pgMar w:top="1020" w:right="1134" w:bottom="964"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D8397">
    <w:pPr>
      <w:pStyle w:val="24"/>
      <w:jc w:val="center"/>
    </w:pPr>
    <w:r>
      <w:rPr>
        <w:color w:val="787878"/>
        <w:sz w:val="16"/>
      </w:rPr>
      <w:t xml:space="preserve">QS486073   |   </w:t>
    </w:r>
    <w:r>
      <w:fldChar w:fldCharType="begin"/>
    </w:r>
    <w:r>
      <w:instrText xml:space="preserve">PAGE</w:instrText>
    </w:r>
    <w:r>
      <w:fldChar w:fldCharType="separate"/>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7D7C3">
    <w:pPr>
      <w:pStyle w:val="25"/>
      <w:jc w:val="right"/>
      <w:rPr>
        <w:color w:val="787878"/>
        <w:sz w:val="16"/>
      </w:rPr>
    </w:pPr>
    <w:r>
      <w:rPr>
        <w:rFonts w:hint="eastAsia"/>
        <w:color w:val="787878"/>
        <w:sz w:val="16"/>
        <w:lang w:val="en-US" w:eastAsia="zh-CN"/>
      </w:rPr>
      <w:t>TLERA</w:t>
    </w:r>
    <w:r>
      <w:rPr>
        <w:color w:val="787878"/>
        <w:sz w:val="16"/>
      </w:rPr>
      <w:t xml:space="preserve"> PRODUCT WARRANTY </w:t>
    </w:r>
  </w:p>
  <w:p w14:paraId="2D2FDBE9">
    <w:pPr>
      <w:pStyle w:val="25"/>
      <w:jc w:val="center"/>
      <w:rPr>
        <w:color w:val="787878"/>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AEB500A"/>
    <w:rsid w:val="2BC8517A"/>
    <w:rsid w:val="389A047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80" w:line="269" w:lineRule="auto"/>
    </w:pPr>
    <w:rPr>
      <w:rFonts w:ascii="Arial" w:hAnsi="Arial" w:eastAsia="微软雅黑" w:cstheme="minorBidi"/>
      <w:sz w:val="19"/>
      <w:szCs w:val="22"/>
      <w:lang w:val="en-US" w:eastAsia="en-US" w:bidi="ar-SA"/>
    </w:rPr>
  </w:style>
  <w:style w:type="paragraph" w:styleId="3">
    <w:name w:val="heading 1"/>
    <w:basedOn w:val="1"/>
    <w:next w:val="1"/>
    <w:link w:val="139"/>
    <w:qFormat/>
    <w:uiPriority w:val="9"/>
    <w:pPr>
      <w:keepNext/>
      <w:keepLines/>
      <w:spacing w:before="160" w:after="80"/>
      <w:outlineLvl w:val="0"/>
    </w:pPr>
    <w:rPr>
      <w:rFonts w:asciiTheme="majorHAnsi" w:hAnsiTheme="majorHAnsi" w:eastAsiaTheme="majorEastAsia" w:cstheme="majorBidi"/>
      <w:b/>
      <w:bCs/>
      <w:color w:val="1F4E79"/>
      <w:sz w:val="30"/>
      <w:szCs w:val="28"/>
    </w:rPr>
  </w:style>
  <w:style w:type="paragraph" w:styleId="4">
    <w:name w:val="heading 2"/>
    <w:basedOn w:val="1"/>
    <w:next w:val="1"/>
    <w:link w:val="140"/>
    <w:unhideWhenUsed/>
    <w:qFormat/>
    <w:uiPriority w:val="9"/>
    <w:pPr>
      <w:keepNext/>
      <w:keepLines/>
      <w:spacing w:before="160" w:after="80"/>
      <w:outlineLvl w:val="1"/>
    </w:pPr>
    <w:rPr>
      <w:rFonts w:asciiTheme="majorHAnsi" w:hAnsiTheme="majorHAnsi" w:eastAsiaTheme="majorEastAsia" w:cstheme="majorBidi"/>
      <w:b/>
      <w:bCs/>
      <w:color w:val="2F5597"/>
      <w:sz w:val="24"/>
      <w:szCs w:val="26"/>
    </w:rPr>
  </w:style>
  <w:style w:type="paragraph" w:styleId="5">
    <w:name w:val="heading 3"/>
    <w:basedOn w:val="1"/>
    <w:next w:val="1"/>
    <w:link w:val="141"/>
    <w:unhideWhenUsed/>
    <w:qFormat/>
    <w:uiPriority w:val="9"/>
    <w:pPr>
      <w:keepNext/>
      <w:keepLines/>
      <w:spacing w:before="160" w:after="80"/>
      <w:outlineLvl w:val="2"/>
    </w:pPr>
    <w:rPr>
      <w:rFonts w:asciiTheme="majorHAnsi" w:hAnsiTheme="majorHAnsi" w:eastAsiaTheme="majorEastAsia" w:cstheme="majorBidi"/>
      <w:b/>
      <w:bCs/>
      <w:color w:val="333333"/>
      <w:sz w:val="21"/>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semiHidden/>
    <w:unhideWhenUsed/>
    <w:uiPriority w:val="99"/>
    <w:rPr>
      <w:sz w:val="24"/>
    </w:r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5"/>
    <w:qFormat/>
    <w:uiPriority w:val="99"/>
  </w:style>
  <w:style w:type="character" w:customStyle="1" w:styleId="137">
    <w:name w:val="Footer Char"/>
    <w:basedOn w:val="133"/>
    <w:link w:val="24"/>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19"/>
    <w:qFormat/>
    <w:uiPriority w:val="99"/>
  </w:style>
  <w:style w:type="character" w:customStyle="1" w:styleId="146">
    <w:name w:val="Body Text 2 Char"/>
    <w:basedOn w:val="133"/>
    <w:link w:val="28"/>
    <w:qFormat/>
    <w:uiPriority w:val="99"/>
  </w:style>
  <w:style w:type="character" w:customStyle="1" w:styleId="147">
    <w:name w:val="Body Text 3 Char"/>
    <w:basedOn w:val="133"/>
    <w:link w:val="17"/>
    <w:qFormat/>
    <w:uiPriority w:val="99"/>
    <w:rPr>
      <w:sz w:val="16"/>
      <w:szCs w:val="16"/>
    </w:rPr>
  </w:style>
  <w:style w:type="character" w:customStyle="1" w:styleId="148">
    <w:name w:val="Macro Text Char"/>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3369</Words>
  <Characters>9201</Characters>
  <Lines>0</Lines>
  <Paragraphs>0</Paragraphs>
  <TotalTime>47</TotalTime>
  <ScaleCrop>false</ScaleCrop>
  <LinksUpToDate>false</LinksUpToDate>
  <CharactersWithSpaces>10346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Prepared from supplied scan</dc:creator>
  <dc:description>generated by python-docx</dc:description>
  <cp:lastModifiedBy>xxx</cp:lastModifiedBy>
  <dcterms:modified xsi:type="dcterms:W3CDTF">2026-07-22T02:17:19Z</dcterms:modified>
  <dc:subject>QS486073</dc:subject>
  <dc:title>HANGCHA Electric Forklift Product Warranty - Chinese-English Bilingual</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eyJoZGlkIjoiZjRlMDcwODE4ZmQ3NDU1MTJjNDIwNDAyNGI0NDk4MzgiLCJ1c2VySWQiOiI1ODA5NjAyNzkifQ==</vt:lpwstr>
  </property>
  <property fmtid="{D5CDD505-2E9C-101B-9397-08002B2CF9AE}" pid="3" name="KSOProductBuildVer">
    <vt:lpwstr>2052-12.1.0.26895</vt:lpwstr>
  </property>
  <property fmtid="{D5CDD505-2E9C-101B-9397-08002B2CF9AE}" pid="4" name="ICV">
    <vt:lpwstr>C017634FEEBA4F619A26908F90334871_12</vt:lpwstr>
  </property>
</Properties>
</file>